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hd w:fill="C0392B" w:val="clear"/>
        <w:spacing w:after="160" w:before="0"/>
        <w:jc w:val="center"/>
      </w:pPr>
      <w:r>
        <w:rPr>
          <w:rFonts w:ascii="Arial" w:cs="Arial" w:eastAsia="Arial" w:hAnsi="Arial"/>
          <w:b/>
          <w:bCs/>
          <w:color w:val="FFFFFF"/>
          <w:sz w:val="16"/>
          <w:szCs w:val="16"/>
        </w:rPr>
        <w:t xml:space="preserve">STRICTLY CONFIDENTIAL  |  STRICTEMENT CONFIDENTIEL</w:t>
      </w:r>
    </w:p>
    <w:p>
      <w:pPr>
        <w:spacing w:after="40"/>
        <w:jc w:val="center"/>
      </w:pPr>
      <w:r>
        <w:rPr>
          <w:rFonts w:ascii="Arial" w:cs="Arial" w:eastAsia="Arial" w:hAnsi="Arial"/>
          <w:b/>
          <w:bCs/>
          <w:color w:val="0D2B4E"/>
          <w:sz w:val="28"/>
          <w:szCs w:val="28"/>
        </w:rPr>
        <w:t xml:space="preserve">BURKINA FASO – MINISTRY OF HOUSING</w:t>
      </w:r>
    </w:p>
    <w:p>
      <w:pPr>
        <w:spacing w:after="20"/>
        <w:jc w:val="center"/>
      </w:pPr>
      <w:r>
        <w:rPr>
          <w:rFonts w:ascii="Arial" w:cs="Arial" w:eastAsia="Arial" w:hAnsi="Arial"/>
          <w:color w:val="C9A84C"/>
          <w:sz w:val="20"/>
          <w:szCs w:val="20"/>
        </w:rPr>
        <w:t xml:space="preserve">MINISTÈRE DE L'HABITAT</w:t>
      </w:r>
    </w:p>
    <w:p>
      <w:pPr>
        <w:spacing w:after="20"/>
        <w:jc w:val="center"/>
      </w:pPr>
      <w:r>
        <w:rPr>
          <w:rFonts w:ascii="Arial" w:cs="Arial" w:eastAsia="Arial" w:hAnsi="Arial"/>
          <w:b/>
          <w:bCs/>
          <w:color w:val="0D2B4E"/>
          <w:sz w:val="22"/>
          <w:szCs w:val="22"/>
        </w:rPr>
        <w:t xml:space="preserve">INVESTOR PROJECT PORTFOLIO MATRIX</w:t>
      </w:r>
    </w:p>
    <w:p>
      <w:pPr>
        <w:spacing w:after="20"/>
        <w:jc w:val="center"/>
      </w:pPr>
      <w:r>
        <w:rPr>
          <w:rFonts w:ascii="Arial" w:cs="Arial" w:eastAsia="Arial" w:hAnsi="Arial"/>
          <w:color w:val="C9A84C"/>
          <w:sz w:val="18"/>
          <w:szCs w:val="18"/>
        </w:rPr>
        <w:t xml:space="preserve">MATRICE DU PORTEFEUILLE DE PROJETS POUR INVESTISSEURS</w:t>
      </w:r>
    </w:p>
    <w:p>
      <w:pPr>
        <w:spacing w:after="40"/>
        <w:jc w:val="center"/>
      </w:pPr>
      <w:r>
        <w:rPr>
          <w:rFonts w:ascii="Arial" w:cs="Arial" w:eastAsia="Arial" w:hAnsi="Arial"/>
          <w:color w:val="0D2B4E"/>
          <w:sz w:val="16"/>
          <w:szCs w:val="16"/>
        </w:rPr>
        <w:t xml:space="preserve">March 2026  |  Mars 2026  |  Prepared by / Préparé par: BM &amp; D World Development Consultancy</w:t>
      </w:r>
    </w:p>
    <w:p>
      <w:pPr>
        <w:pBdr>
          <w:bottom w:val="single" w:color="C9A84C" w:sz="8"/>
        </w:pBdr>
        <w:spacing w:after="120"/>
      </w:pPr>
    </w:p>
    <w:p>
      <w:pPr>
        <w:shd w:fill="F0DFA0" w:val="clear"/>
        <w:spacing w:after="160" w:before="80"/>
      </w:pPr>
      <w:r>
        <w:rPr>
          <w:rFonts w:ascii="Arial" w:cs="Arial" w:eastAsia="Arial" w:hAnsi="Arial"/>
          <w:color w:val="7A5800"/>
          <w:sz w:val="14"/>
          <w:szCs w:val="14"/>
        </w:rPr>
        <w:t xml:space="preserve">🟡 Yellow cells = Data required from the Government / Cellules jaunes = Données requises du Gouvernement  ✅ = Available / Disponible  ⬜ = Unknown / Inconnu</w:t>
      </w:r>
    </w:p>
    <w:tbl>
      <w:tblPr>
        <w:tblW w:type="dxa" w:w="172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2000"/>
        <w:gridCol w:w="1100"/>
        <w:gridCol w:w="2200"/>
        <w:gridCol w:w="1600"/>
        <w:gridCol w:w="1300"/>
        <w:gridCol w:w="1100"/>
        <w:gridCol w:w="1500"/>
        <w:gridCol w:w="1200"/>
        <w:gridCol w:w="800"/>
        <w:gridCol w:w="800"/>
        <w:gridCol w:w="800"/>
        <w:gridCol w:w="800"/>
        <w:gridCol w:w="800"/>
        <w:gridCol w:w="800"/>
      </w:tblGrid>
      <w:tr>
        <w:trPr>
          <w:tblHeader/>
        </w:trPr>
        <w:tc>
          <w:tcPr>
            <w:tcW w:type="dxa" w:w="400"/>
            <w:tcBorders>
              <w:top w:val="single" w:color="0D2B4E" w:sz="4"/>
              <w:left w:val="single" w:color="0D2B4E" w:sz="4"/>
              <w:bottom w:val="single" w:color="0D2B4E" w:sz="4"/>
              <w:right w:val="single" w:color="0D2B4E" w:sz="4"/>
            </w:tcBorders>
            <w:shd w:fill="0D2B4E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4"/>
                <w:szCs w:val="14"/>
              </w:rPr>
              <w:t xml:space="preserve">No.</w:t>
            </w:r>
          </w:p>
          <w:p>
            <w:pPr>
              <w:jc w:val="center"/>
            </w:pPr>
            <w:r>
              <w:rPr>
                <w:rFonts w:ascii="Arial" w:cs="Arial" w:eastAsia="Arial" w:hAnsi="Arial"/>
                <w:color w:val="F0DFA0"/>
                <w:sz w:val="12"/>
                <w:szCs w:val="12"/>
              </w:rPr>
              <w:t xml:space="preserve">N°</w:t>
            </w:r>
          </w:p>
        </w:tc>
        <w:tc>
          <w:tcPr>
            <w:tcW w:type="dxa" w:w="2000"/>
            <w:tcBorders>
              <w:top w:val="single" w:color="0D2B4E" w:sz="4"/>
              <w:left w:val="single" w:color="0D2B4E" w:sz="4"/>
              <w:bottom w:val="single" w:color="0D2B4E" w:sz="4"/>
              <w:right w:val="single" w:color="0D2B4E" w:sz="4"/>
            </w:tcBorders>
            <w:shd w:fill="0D2B4E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4"/>
                <w:szCs w:val="14"/>
              </w:rPr>
              <w:t xml:space="preserve">Project Name</w:t>
            </w:r>
          </w:p>
          <w:p>
            <w:pPr>
              <w:jc w:val="center"/>
            </w:pPr>
            <w:r>
              <w:rPr>
                <w:rFonts w:ascii="Arial" w:cs="Arial" w:eastAsia="Arial" w:hAnsi="Arial"/>
                <w:color w:val="F0DFA0"/>
                <w:sz w:val="12"/>
                <w:szCs w:val="12"/>
              </w:rPr>
              <w:t xml:space="preserve">Nom du Projet</w:t>
            </w:r>
          </w:p>
        </w:tc>
        <w:tc>
          <w:tcPr>
            <w:tcW w:type="dxa" w:w="1100"/>
            <w:tcBorders>
              <w:top w:val="single" w:color="0D2B4E" w:sz="4"/>
              <w:left w:val="single" w:color="0D2B4E" w:sz="4"/>
              <w:bottom w:val="single" w:color="0D2B4E" w:sz="4"/>
              <w:right w:val="single" w:color="0D2B4E" w:sz="4"/>
            </w:tcBorders>
            <w:shd w:fill="0D2B4E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4"/>
                <w:szCs w:val="14"/>
              </w:rPr>
              <w:t xml:space="preserve">Sector</w:t>
            </w:r>
          </w:p>
          <w:p>
            <w:pPr>
              <w:jc w:val="center"/>
            </w:pPr>
            <w:r>
              <w:rPr>
                <w:rFonts w:ascii="Arial" w:cs="Arial" w:eastAsia="Arial" w:hAnsi="Arial"/>
                <w:color w:val="F0DFA0"/>
                <w:sz w:val="12"/>
                <w:szCs w:val="12"/>
              </w:rPr>
              <w:t xml:space="preserve">Secteur</w:t>
            </w:r>
          </w:p>
        </w:tc>
        <w:tc>
          <w:tcPr>
            <w:tcW w:type="dxa" w:w="2200"/>
            <w:tcBorders>
              <w:top w:val="single" w:color="0D2B4E" w:sz="4"/>
              <w:left w:val="single" w:color="0D2B4E" w:sz="4"/>
              <w:bottom w:val="single" w:color="0D2B4E" w:sz="4"/>
              <w:right w:val="single" w:color="0D2B4E" w:sz="4"/>
            </w:tcBorders>
            <w:shd w:fill="0D2B4E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4"/>
                <w:szCs w:val="14"/>
              </w:rPr>
              <w:t xml:space="preserve">Description</w:t>
            </w:r>
          </w:p>
          <w:p>
            <w:pPr>
              <w:jc w:val="center"/>
            </w:pPr>
            <w:r>
              <w:rPr>
                <w:rFonts w:ascii="Arial" w:cs="Arial" w:eastAsia="Arial" w:hAnsi="Arial"/>
                <w:color w:val="F0DFA0"/>
                <w:sz w:val="12"/>
                <w:szCs w:val="12"/>
              </w:rPr>
              <w:t xml:space="preserve">Description</w:t>
            </w:r>
          </w:p>
        </w:tc>
        <w:tc>
          <w:tcPr>
            <w:tcW w:type="dxa" w:w="1600"/>
            <w:tcBorders>
              <w:top w:val="single" w:color="0D2B4E" w:sz="4"/>
              <w:left w:val="single" w:color="0D2B4E" w:sz="4"/>
              <w:bottom w:val="single" w:color="0D2B4E" w:sz="4"/>
              <w:right w:val="single" w:color="0D2B4E" w:sz="4"/>
            </w:tcBorders>
            <w:shd w:fill="0D2B4E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4"/>
                <w:szCs w:val="14"/>
              </w:rPr>
              <w:t xml:space="preserve">Objective</w:t>
            </w:r>
          </w:p>
          <w:p>
            <w:pPr>
              <w:jc w:val="center"/>
            </w:pPr>
            <w:r>
              <w:rPr>
                <w:rFonts w:ascii="Arial" w:cs="Arial" w:eastAsia="Arial" w:hAnsi="Arial"/>
                <w:color w:val="F0DFA0"/>
                <w:sz w:val="12"/>
                <w:szCs w:val="12"/>
              </w:rPr>
              <w:t xml:space="preserve">Objectif</w:t>
            </w:r>
          </w:p>
        </w:tc>
        <w:tc>
          <w:tcPr>
            <w:tcW w:type="dxa" w:w="1300"/>
            <w:tcBorders>
              <w:top w:val="single" w:color="0D2B4E" w:sz="4"/>
              <w:left w:val="single" w:color="0D2B4E" w:sz="4"/>
              <w:bottom w:val="single" w:color="0D2B4E" w:sz="4"/>
              <w:right w:val="single" w:color="0D2B4E" w:sz="4"/>
            </w:tcBorders>
            <w:shd w:fill="0D2B4E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4"/>
                <w:szCs w:val="14"/>
              </w:rPr>
              <w:t xml:space="preserve">Components</w:t>
            </w:r>
          </w:p>
          <w:p>
            <w:pPr>
              <w:jc w:val="center"/>
            </w:pPr>
            <w:r>
              <w:rPr>
                <w:rFonts w:ascii="Arial" w:cs="Arial" w:eastAsia="Arial" w:hAnsi="Arial"/>
                <w:color w:val="F0DFA0"/>
                <w:sz w:val="12"/>
                <w:szCs w:val="12"/>
              </w:rPr>
              <w:t xml:space="preserve">Composantes</w:t>
            </w:r>
          </w:p>
        </w:tc>
        <w:tc>
          <w:tcPr>
            <w:tcW w:type="dxa" w:w="1100"/>
            <w:tcBorders>
              <w:top w:val="single" w:color="0D2B4E" w:sz="4"/>
              <w:left w:val="single" w:color="0D2B4E" w:sz="4"/>
              <w:bottom w:val="single" w:color="0D2B4E" w:sz="4"/>
              <w:right w:val="single" w:color="0D2B4E" w:sz="4"/>
            </w:tcBorders>
            <w:shd w:fill="0D2B4E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4"/>
                <w:szCs w:val="14"/>
              </w:rPr>
              <w:t xml:space="preserve">Location</w:t>
            </w:r>
          </w:p>
          <w:p>
            <w:pPr>
              <w:jc w:val="center"/>
            </w:pPr>
            <w:r>
              <w:rPr>
                <w:rFonts w:ascii="Arial" w:cs="Arial" w:eastAsia="Arial" w:hAnsi="Arial"/>
                <w:color w:val="F0DFA0"/>
                <w:sz w:val="12"/>
                <w:szCs w:val="12"/>
              </w:rPr>
              <w:t xml:space="preserve">Localisation</w:t>
            </w:r>
          </w:p>
        </w:tc>
        <w:tc>
          <w:tcPr>
            <w:tcW w:type="dxa" w:w="1500"/>
            <w:tcBorders>
              <w:top w:val="single" w:color="0D2B4E" w:sz="4"/>
              <w:left w:val="single" w:color="0D2B4E" w:sz="4"/>
              <w:bottom w:val="single" w:color="0D2B4E" w:sz="4"/>
              <w:right w:val="single" w:color="0D2B4E" w:sz="4"/>
            </w:tcBorders>
            <w:shd w:fill="0D2B4E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4"/>
                <w:szCs w:val="14"/>
              </w:rPr>
              <w:t xml:space="preserve">Value (FCFA)</w:t>
            </w:r>
          </w:p>
          <w:p>
            <w:pPr>
              <w:jc w:val="center"/>
            </w:pPr>
            <w:r>
              <w:rPr>
                <w:rFonts w:ascii="Arial" w:cs="Arial" w:eastAsia="Arial" w:hAnsi="Arial"/>
                <w:color w:val="F0DFA0"/>
                <w:sz w:val="12"/>
                <w:szCs w:val="12"/>
              </w:rPr>
              <w:t xml:space="preserve">Valeur (FCFA)</w:t>
            </w:r>
          </w:p>
        </w:tc>
        <w:tc>
          <w:tcPr>
            <w:tcW w:type="dxa" w:w="1200"/>
            <w:tcBorders>
              <w:top w:val="single" w:color="0D2B4E" w:sz="4"/>
              <w:left w:val="single" w:color="0D2B4E" w:sz="4"/>
              <w:bottom w:val="single" w:color="0D2B4E" w:sz="4"/>
              <w:right w:val="single" w:color="0D2B4E" w:sz="4"/>
            </w:tcBorders>
            <w:shd w:fill="0D2B4E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4"/>
                <w:szCs w:val="14"/>
              </w:rPr>
              <w:t xml:space="preserve">Maturity / Docs</w:t>
            </w:r>
          </w:p>
          <w:p>
            <w:pPr>
              <w:jc w:val="center"/>
            </w:pPr>
            <w:r>
              <w:rPr>
                <w:rFonts w:ascii="Arial" w:cs="Arial" w:eastAsia="Arial" w:hAnsi="Arial"/>
                <w:color w:val="F0DFA0"/>
                <w:sz w:val="12"/>
                <w:szCs w:val="12"/>
              </w:rPr>
              <w:t xml:space="preserve">Maturité / Docs</w:t>
            </w:r>
          </w:p>
        </w:tc>
        <w:tc>
          <w:tcPr>
            <w:tcW w:type="dxa" w:w="800"/>
            <w:tcBorders>
              <w:top w:val="single" w:color="0D2B4E" w:sz="4"/>
              <w:left w:val="single" w:color="0D2B4E" w:sz="4"/>
              <w:bottom w:val="single" w:color="0D2B4E" w:sz="4"/>
              <w:right w:val="single" w:color="0D2B4E" w:sz="4"/>
            </w:tcBorders>
            <w:shd w:fill="0D2B4E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4"/>
                <w:szCs w:val="14"/>
              </w:rPr>
              <w:t xml:space="preserve">Feasibility?</w:t>
            </w:r>
          </w:p>
          <w:p>
            <w:pPr>
              <w:jc w:val="center"/>
            </w:pPr>
            <w:r>
              <w:rPr>
                <w:rFonts w:ascii="Arial" w:cs="Arial" w:eastAsia="Arial" w:hAnsi="Arial"/>
                <w:color w:val="F0DFA0"/>
                <w:sz w:val="12"/>
                <w:szCs w:val="12"/>
              </w:rPr>
              <w:t xml:space="preserve">Faisabilité?</w:t>
            </w:r>
          </w:p>
        </w:tc>
        <w:tc>
          <w:tcPr>
            <w:tcW w:type="dxa" w:w="800"/>
            <w:tcBorders>
              <w:top w:val="single" w:color="0D2B4E" w:sz="4"/>
              <w:left w:val="single" w:color="0D2B4E" w:sz="4"/>
              <w:bottom w:val="single" w:color="0D2B4E" w:sz="4"/>
              <w:right w:val="single" w:color="0D2B4E" w:sz="4"/>
            </w:tcBorders>
            <w:shd w:fill="0D2B4E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4"/>
                <w:szCs w:val="14"/>
              </w:rPr>
              <w:t xml:space="preserve">Date FS</w:t>
            </w:r>
          </w:p>
          <w:p>
            <w:pPr>
              <w:jc w:val="center"/>
            </w:pPr>
            <w:r>
              <w:rPr>
                <w:rFonts w:ascii="Arial" w:cs="Arial" w:eastAsia="Arial" w:hAnsi="Arial"/>
                <w:color w:val="F0DFA0"/>
                <w:sz w:val="12"/>
                <w:szCs w:val="12"/>
              </w:rPr>
              <w:t xml:space="preserve">Date Étude</w:t>
            </w:r>
          </w:p>
        </w:tc>
        <w:tc>
          <w:tcPr>
            <w:tcW w:type="dxa" w:w="800"/>
            <w:tcBorders>
              <w:top w:val="single" w:color="0D2B4E" w:sz="4"/>
              <w:left w:val="single" w:color="0D2B4E" w:sz="4"/>
              <w:bottom w:val="single" w:color="0D2B4E" w:sz="4"/>
              <w:right w:val="single" w:color="0D2B4E" w:sz="4"/>
            </w:tcBorders>
            <w:shd w:fill="0D2B4E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4"/>
                <w:szCs w:val="14"/>
              </w:rPr>
              <w:t xml:space="preserve">Conceived</w:t>
            </w:r>
          </w:p>
          <w:p>
            <w:pPr>
              <w:jc w:val="center"/>
            </w:pPr>
            <w:r>
              <w:rPr>
                <w:rFonts w:ascii="Arial" w:cs="Arial" w:eastAsia="Arial" w:hAnsi="Arial"/>
                <w:color w:val="F0DFA0"/>
                <w:sz w:val="12"/>
                <w:szCs w:val="12"/>
              </w:rPr>
              <w:t xml:space="preserve">Conception</w:t>
            </w:r>
          </w:p>
        </w:tc>
        <w:tc>
          <w:tcPr>
            <w:tcW w:type="dxa" w:w="800"/>
            <w:tcBorders>
              <w:top w:val="single" w:color="0D2B4E" w:sz="4"/>
              <w:left w:val="single" w:color="0D2B4E" w:sz="4"/>
              <w:bottom w:val="single" w:color="0D2B4E" w:sz="4"/>
              <w:right w:val="single" w:color="0D2B4E" w:sz="4"/>
            </w:tcBorders>
            <w:shd w:fill="0D2B4E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4"/>
                <w:szCs w:val="14"/>
              </w:rPr>
              <w:t xml:space="preserve">Gov Priority
(1-5)</w:t>
            </w:r>
          </w:p>
          <w:p>
            <w:pPr>
              <w:jc w:val="center"/>
            </w:pPr>
            <w:r>
              <w:rPr>
                <w:rFonts w:ascii="Arial" w:cs="Arial" w:eastAsia="Arial" w:hAnsi="Arial"/>
                <w:color w:val="F0DFA0"/>
                <w:sz w:val="12"/>
                <w:szCs w:val="12"/>
              </w:rPr>
              <w:t xml:space="preserve">Priorité
(1-5)</w:t>
            </w:r>
          </w:p>
        </w:tc>
        <w:tc>
          <w:tcPr>
            <w:tcW w:type="dxa" w:w="800"/>
            <w:tcBorders>
              <w:top w:val="single" w:color="0D2B4E" w:sz="4"/>
              <w:left w:val="single" w:color="0D2B4E" w:sz="4"/>
              <w:bottom w:val="single" w:color="0D2B4E" w:sz="4"/>
              <w:right w:val="single" w:color="0D2B4E" w:sz="4"/>
            </w:tcBorders>
            <w:shd w:fill="0D2B4E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4"/>
                <w:szCs w:val="14"/>
              </w:rPr>
              <w:t xml:space="preserve">Financing
Structure</w:t>
            </w:r>
          </w:p>
          <w:p>
            <w:pPr>
              <w:jc w:val="center"/>
            </w:pPr>
            <w:r>
              <w:rPr>
                <w:rFonts w:ascii="Arial" w:cs="Arial" w:eastAsia="Arial" w:hAnsi="Arial"/>
                <w:color w:val="F0DFA0"/>
                <w:sz w:val="12"/>
                <w:szCs w:val="12"/>
              </w:rPr>
              <w:t xml:space="preserve">Financement</w:t>
            </w:r>
          </w:p>
        </w:tc>
        <w:tc>
          <w:tcPr>
            <w:tcW w:type="dxa" w:w="800"/>
            <w:tcBorders>
              <w:top w:val="single" w:color="0D2B4E" w:sz="4"/>
              <w:left w:val="single" w:color="0D2B4E" w:sz="4"/>
              <w:bottom w:val="single" w:color="0D2B4E" w:sz="4"/>
              <w:right w:val="single" w:color="0D2B4E" w:sz="4"/>
            </w:tcBorders>
            <w:shd w:fill="0D2B4E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4"/>
                <w:szCs w:val="14"/>
              </w:rPr>
              <w:t xml:space="preserve">Urgency
(1-10)</w:t>
            </w:r>
          </w:p>
          <w:p>
            <w:pPr>
              <w:jc w:val="center"/>
            </w:pPr>
            <w:r>
              <w:rPr>
                <w:rFonts w:ascii="Arial" w:cs="Arial" w:eastAsia="Arial" w:hAnsi="Arial"/>
                <w:color w:val="F0DFA0"/>
                <w:sz w:val="12"/>
                <w:szCs w:val="12"/>
              </w:rPr>
              <w:t xml:space="preserve">Urgence
(1-10)</w:t>
            </w:r>
          </w:p>
        </w:tc>
      </w:tr>
      <w:tr>
        <w:tc>
          <w:tcPr>
            <w:tcW w:type="dxa" w:w="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DFA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D2B4E"/>
                <w:sz w:val="14"/>
                <w:szCs w:val="14"/>
              </w:rPr>
              <w:t xml:space="preserve">1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0D2B4E"/>
                <w:sz w:val="13"/>
                <w:szCs w:val="13"/>
              </w:rPr>
              <w:t xml:space="preserve">Program for Redevelopment of Informal Settlements (PROREST-APUR)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Urban Housing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Comprehensive redevelopment of informal urban settlements, resolving land liabilities and improving living conditions nationwide.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Improve living environment and foster social harmony.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1. Community engagement &amp; land mgmt
2. Site development &amp; infrastructure
3. Community facilities
4. Access to decent housing
5. Institutional support
6. Programme coordination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Urban areas – Burkina Faso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2,145,024,039,980 FCFA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Pro Doc Available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✅ Pro Doc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</w:tr>
      <w:tr>
        <w:tc>
          <w:tcPr>
            <w:tcW w:type="dxa" w:w="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DFA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D2B4E"/>
                <w:sz w:val="14"/>
                <w:szCs w:val="14"/>
              </w:rPr>
              <w:t xml:space="preserve">2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0D2B4E"/>
                <w:sz w:val="13"/>
                <w:szCs w:val="13"/>
              </w:rPr>
              <w:t xml:space="preserve">Programme "BURUKINA FASO DEENW KA SOOW"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Affordable Housing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Large-scale national housing programme for all socio-professional groups including land acquisition, development and construction.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Improve access to decent housing for all.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1. Land acquisition &amp; development
2. Construction &amp; housing provision
3. Programme management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National – all regions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2,200,000,000,000 FCFA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Pro Doc Available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✅ Pro Doc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</w:tr>
      <w:tr>
        <w:tc>
          <w:tcPr>
            <w:tcW w:type="dxa" w:w="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DFA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D2B4E"/>
                <w:sz w:val="14"/>
                <w:szCs w:val="14"/>
              </w:rPr>
              <w:t xml:space="preserve">3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0D2B4E"/>
                <w:sz w:val="13"/>
                <w:szCs w:val="13"/>
              </w:rPr>
              <w:t xml:space="preserve">Urban Development Programme (UDP)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Urban Development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Multi-component programme enhancing urban sustainability across metropolitan and secondary cities with governance strengthening.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Enhance urban character and sustainability.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1. Metropolitan city quality
2. Secondary city development
3. Urban governance strengthening
4. Programme coordination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Metropolitan &amp; secondary cities nationwide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661,742,908,000 FCFA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Pro Doc Available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✅ Pro Doc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</w:tr>
      <w:tr>
        <w:tc>
          <w:tcPr>
            <w:tcW w:type="dxa" w:w="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DFA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D2B4E"/>
                <w:sz w:val="14"/>
                <w:szCs w:val="14"/>
              </w:rPr>
              <w:t xml:space="preserve">4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0D2B4E"/>
                <w:sz w:val="13"/>
                <w:szCs w:val="13"/>
              </w:rPr>
              <w:t xml:space="preserve">Urban Information Management Support Project (PAMIU)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Smart City / Urban Data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Digital governance project centralising spatial and land data for inclusive, effective urban management.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Effective, inclusive and sustainable urban governance.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1. Urban management tools update
2. Unified platform development
3. Project oversight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Ouagadougou &amp; national urban centres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7,139,436,000 FCFA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Feasibility Study Available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✅ Feasibility Study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</w:tr>
      <w:tr>
        <w:tc>
          <w:tcPr>
            <w:tcW w:type="dxa" w:w="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DFA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D2B4E"/>
                <w:sz w:val="14"/>
                <w:szCs w:val="14"/>
              </w:rPr>
              <w:t xml:space="preserve">5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0D2B4E"/>
                <w:sz w:val="13"/>
                <w:szCs w:val="13"/>
              </w:rPr>
              <w:t xml:space="preserve">Stormwater Drainage Network Upgrade – Ouagadougou Phase 4 (PRAVO Phase 4)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Urban Infrastructure / Water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Phase 4 upgrade of stormwater drainage in Ouagadougou, focusing on the Kadiogo corridor to reduce flood risks and build climate resilience.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Long-term water safety and climate resilience.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1. Study review &amp; updating
2. Hydraulic &amp; urban works
3. Supervision &amp; monitoring
4. Solid waste management
5. Environmental &amp; social measures
6. Project coordination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Ouagadougou – Kadiogo corridor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56,790,000,000 FCFA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Feasibility Study, APD &amp; DAO Available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✅ Feasibility + APD + DAO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</w:tr>
      <w:tr>
        <w:tc>
          <w:tcPr>
            <w:tcW w:type="dxa" w:w="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DFA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D2B4E"/>
                <w:sz w:val="14"/>
                <w:szCs w:val="14"/>
              </w:rPr>
              <w:t xml:space="preserve">6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0D2B4E"/>
                <w:sz w:val="13"/>
                <w:szCs w:val="13"/>
              </w:rPr>
              <w:t xml:space="preserve">Modernization of Infrastructure Development Unit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Institutional Capacity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Capacity-building project equipping the Infrastructure Development Unit with modern autonomous operational capabilities.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Modern, autonomous operational capabilities for urban and rural development.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1. Equipment procurement
2. Maintenance &amp; repair
3. Project management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National – Infrastructure Development Unit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2,150,000,000 FCFA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Not specified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⬜ Unknown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</w:tr>
      <w:tr>
        <w:tc>
          <w:tcPr>
            <w:tcW w:type="dxa" w:w="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DFA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D2B4E"/>
                <w:sz w:val="14"/>
                <w:szCs w:val="14"/>
              </w:rPr>
              <w:t xml:space="preserve">7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0D2B4E"/>
                <w:sz w:val="13"/>
                <w:szCs w:val="13"/>
              </w:rPr>
              <w:t xml:space="preserve">Integrated Transition Complex Project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Mixed-Use Real Estate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Mixed-use development creating office spaces, retail spaces and housing supply in Ouagadougou.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Create office, retail and housing spaces.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Office, retail &amp; residential development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Ouagadougou – Transition area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34,765,000,000 FCFA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Preliminary Design (APS)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⬜ Feasibility status unknown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</w:tr>
      <w:tr>
        <w:tc>
          <w:tcPr>
            <w:tcW w:type="dxa" w:w="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DFA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D2B4E"/>
                <w:sz w:val="14"/>
                <w:szCs w:val="14"/>
              </w:rPr>
              <w:t xml:space="preserve">8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0D2B4E"/>
                <w:sz w:val="13"/>
                <w:szCs w:val="13"/>
              </w:rPr>
              <w:t xml:space="preserve">Market Place Construction – Transition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Commercial Infrastructure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Construction of formal marketplace infrastructure to address commercial facility deficits and public road encroachment.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Address lack of commercial infrastructure; combat road occupation.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Market &amp; commercial facility construction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Ouagadougou – Transition area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18,782,733,689 FCFA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Preliminary Design (APS)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⬜ Feasibility status unknown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</w:tr>
      <w:tr>
        <w:tc>
          <w:tcPr>
            <w:tcW w:type="dxa" w:w="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DFA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D2B4E"/>
                <w:sz w:val="14"/>
                <w:szCs w:val="14"/>
              </w:rPr>
              <w:t xml:space="preserve">9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0D2B4E"/>
                <w:sz w:val="13"/>
                <w:szCs w:val="13"/>
              </w:rPr>
              <w:t xml:space="preserve">Energy Performance Improvement – Public Buildings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Energy Efficiency / Green Buildings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Green building initiative improving energy performance of public buildings through renovation, R&amp;D and stakeholder training.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Improve energy performance; promote sustainable construction.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1. Energy-efficiency renovation
2. R&amp;D of innovative tools
3. Training &amp; awareness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Public buildings nationwide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61,897,500,000 FCFA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Economic, Environmental, APD &amp; DAO Studies Available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✅ Econ + Enviro + APD + DAO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</w:tr>
      <w:tr>
        <w:tc>
          <w:tcPr>
            <w:tcW w:type="dxa" w:w="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DFA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D2B4E"/>
                <w:sz w:val="14"/>
                <w:szCs w:val="14"/>
              </w:rPr>
              <w:t xml:space="preserve">10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0D2B4E"/>
                <w:sz w:val="13"/>
                <w:szCs w:val="13"/>
              </w:rPr>
              <w:t xml:space="preserve">Ghana–Burkina Faso Railway Interconnection Project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Transport / Rail (Cross-Border)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Cross-border railway expanding Burkina Faso's network to Ghana and West African sub-region to enhance trade and connectivity.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Expand railway network to neighbouring countries.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1. Construction
2. Monitoring &amp; supervision
3. Institutional support
4. Project management unit support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Burkina Faso – Ghana cross-border corridor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2,816,000,000,000 FCFA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Economic, Environmental, APD &amp; DAO Available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✅ Econ + Enviro + APD + DAO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</w:tr>
      <w:tr>
        <w:tc>
          <w:tcPr>
            <w:tcW w:type="dxa" w:w="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DFA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D2B4E"/>
                <w:sz w:val="14"/>
                <w:szCs w:val="14"/>
              </w:rPr>
              <w:t xml:space="preserve">11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0D2B4E"/>
                <w:sz w:val="13"/>
                <w:szCs w:val="13"/>
              </w:rPr>
              <w:t xml:space="preserve">Road Construction &amp; Paving – RN20/RN25/RN26 (330 km)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Road Infrastructure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330 km road network construction including 260 km rural roads across southern Burkina Faso.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Improve internal connectivity.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Road construction, paving, rural road network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Southern BF – Ouessa, Leo, Nebou, Po, Zabre, Bittou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148,111,482,795 FCFA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APD &amp; DAO Available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✅ APD + DAO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</w:tr>
      <w:tr>
        <w:tc>
          <w:tcPr>
            <w:tcW w:type="dxa" w:w="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DFA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D2B4E"/>
                <w:sz w:val="14"/>
                <w:szCs w:val="14"/>
              </w:rPr>
              <w:t xml:space="preserve">12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0D2B4E"/>
                <w:sz w:val="13"/>
                <w:szCs w:val="13"/>
              </w:rPr>
              <w:t xml:space="preserve">Road Improvement – Bassawarga Ave, France-Afrique Blvd, 17 May Resistance Ave (5 interchanges)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Urban Road Infrastructure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Urban road improvement and paving with five interchanges on key Ouagadougou avenues.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Improve internal connectivity.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Road improvement, paving, interchange construction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Ouagadougou – key urban avenues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89,798,000,000 FCFA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APD &amp; DAO Available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✅ APD + DAO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</w:tr>
      <w:tr>
        <w:tc>
          <w:tcPr>
            <w:tcW w:type="dxa" w:w="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DFA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D2B4E"/>
                <w:sz w:val="14"/>
                <w:szCs w:val="14"/>
              </w:rPr>
              <w:t xml:space="preserve">13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0D2B4E"/>
                <w:sz w:val="13"/>
                <w:szCs w:val="13"/>
              </w:rPr>
              <w:t xml:space="preserve">Road Works – Northern Districts of Ouagadougou (incl. engineering structure / dam no. 2)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Urban Road / Bridges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Road opening works improving access to northern Ouagadougou including an engineering structure crossing dam no. 2.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Improve internal connectivity.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Road opening, bridge/engineering structure, urban access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Northern districts of Ouagadougou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144,980,666,299 FCFA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APD &amp; DAO Available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✅ APD + DAO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</w:tr>
      <w:tr>
        <w:tc>
          <w:tcPr>
            <w:tcW w:type="dxa" w:w="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DFA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D2B4E"/>
                <w:sz w:val="14"/>
                <w:szCs w:val="14"/>
              </w:rPr>
              <w:t xml:space="preserve">14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0D2B4E"/>
                <w:sz w:val="13"/>
                <w:szCs w:val="13"/>
              </w:rPr>
              <w:t xml:space="preserve">Road Construction &amp; Paving – RN15: Ouahigouya – Kongoussi – Kaya – Boulsa (252 km)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Road Infrastructure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252 km of National Highway RN15 connecting four key northern/central towns.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Improve internal connectivity.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Road construction &amp; paving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North-Central BF – Ouahigouya, Kongoussi, Kaya, Boulsa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77,811,783,915 FCFA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APD &amp; DAO Available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✅ APD + DAO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</w:tr>
      <w:tr>
        <w:tc>
          <w:tcPr>
            <w:tcW w:type="dxa" w:w="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DFA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D2B4E"/>
                <w:sz w:val="14"/>
                <w:szCs w:val="14"/>
              </w:rPr>
              <w:t xml:space="preserve">15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0D2B4E"/>
                <w:sz w:val="13"/>
                <w:szCs w:val="13"/>
              </w:rPr>
              <w:t xml:space="preserve">Road Construction &amp; Paving – RD134: Kampti – Djigou 6 – Côte d'Ivoire Border (70 km)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Road Infrastructure / Cross-Border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70 km departmental road linking Kampti to the Côte d'Ivoire border, strengthening sub-regional trade.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Improve internal connectivity.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Road construction &amp; paving, border connectivity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Southwest BF – Kampti to Côte d'Ivoire border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25,700,000,000 FCFA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APD &amp; DAO Available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✅ APD + DAO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</w:tr>
      <w:tr>
        <w:tc>
          <w:tcPr>
            <w:tcW w:type="dxa" w:w="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DFA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D2B4E"/>
                <w:sz w:val="14"/>
                <w:szCs w:val="14"/>
              </w:rPr>
              <w:t xml:space="preserve">16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0D2B4E"/>
                <w:sz w:val="13"/>
                <w:szCs w:val="13"/>
              </w:rPr>
              <w:t xml:space="preserve">Road Construction – Goudrin Road (RN04 Junction) – Nedogo – Pousghin – Mankarga – Boena Tanama + RD54 branch (~72 km)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Road Infrastructure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~72 km rural road construction connecting communities to national highway RN17.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Improve internal connectivity.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Road construction &amp; paving, rural access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Central BF – Goudrin, Nedogo, Pousghin, Mankarga, Boena Tanama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35,112,120,398 FCFA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APD &amp; DAO Available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✅ APD + DAO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</w:tr>
      <w:tr>
        <w:tc>
          <w:tcPr>
            <w:tcW w:type="dxa" w:w="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DFA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D2B4E"/>
                <w:sz w:val="14"/>
                <w:szCs w:val="14"/>
              </w:rPr>
              <w:t xml:space="preserve">17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0D2B4E"/>
                <w:sz w:val="13"/>
                <w:szCs w:val="13"/>
              </w:rPr>
              <w:t xml:space="preserve">Road Construction &amp; Paving – RR36: Dande – N'Dorola – Témétémesso (118 km)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Road Infrastructure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118 km regional road. Dande–Kourouma section partially funded (FSR-B); remainder seeks financing.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Improve internal connectivity.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Road construction &amp; paving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Western BF – Dande to N'Dorola–Témétémesso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28,306,118,296 FCFA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APD &amp; DAO Available (partial FSR-B funding secured)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✅ APD + DAO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</w:tr>
      <w:tr>
        <w:tc>
          <w:tcPr>
            <w:tcW w:type="dxa" w:w="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DFA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D2B4E"/>
                <w:sz w:val="14"/>
                <w:szCs w:val="14"/>
              </w:rPr>
              <w:t xml:space="preserve">18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0D2B4E"/>
                <w:sz w:val="13"/>
                <w:szCs w:val="13"/>
              </w:rPr>
              <w:t xml:space="preserve">Yamoussoukro–Ouagadougou Highway: Bobo Dioulasso – Ivory Coast Border (cu7b) – 158.7 km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Highway / Cross-Border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158.7 km section of trans-regional Yamoussoukro–Ouagadougou highway from Bobo Dioulasso to Ivory Coast border.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Expand trans-regional highway connectivity.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Highway construction, cross-border infrastructure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Southwest BF – Bobo Dioulasso to Ivory Coast border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TO BE PROVIDED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Not specified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⬜ Unknown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</w:tr>
      <w:tr>
        <w:tc>
          <w:tcPr>
            <w:tcW w:type="dxa" w:w="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DFA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D2B4E"/>
                <w:sz w:val="14"/>
                <w:szCs w:val="14"/>
              </w:rPr>
              <w:t xml:space="preserve">19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0D2B4E"/>
                <w:sz w:val="13"/>
                <w:szCs w:val="13"/>
              </w:rPr>
              <w:t xml:space="preserve">Yamoussoukro–Ouagadougou Highway: Ouagadougou – Bobo Dioulasso (cu7b) – 332.53 km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Highway / Trans-Regional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332.53 km of the Yamoussoukro–Ouagadougou highway – the longest single project in the portfolio.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Expand trans-regional highway connectivity across Burkina Faso.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Highway construction, long-distance corridor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Central BF – Ouagadougou to Bobo Dioulasso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TO BE PROVIDED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Not specified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0D2B4E"/>
                <w:sz w:val="13"/>
                <w:szCs w:val="13"/>
              </w:rPr>
              <w:t xml:space="preserve">⬜ Unknown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6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7A5800"/>
                <w:sz w:val="13"/>
                <w:szCs w:val="13"/>
              </w:rPr>
              <w:t xml:space="preserve">⬜ TO COMPLETE</w:t>
            </w:r>
          </w:p>
        </w:tc>
      </w:tr>
    </w:tbl>
    <w:p/>
    <w:p>
      <w:pPr>
        <w:pBdr>
          <w:bottom w:val="single" w:color="CCCCCC" w:sz="8"/>
        </w:pBdr>
        <w:spacing w:after="120"/>
      </w:pPr>
    </w:p>
    <w:p>
      <w:pPr>
        <w:jc w:val="center"/>
      </w:pPr>
      <w:r>
        <w:rPr>
          <w:rFonts w:ascii="Arial" w:cs="Arial" w:eastAsia="Arial" w:hAnsi="Arial"/>
          <w:color w:val="888888"/>
          <w:sz w:val="13"/>
          <w:szCs w:val="13"/>
        </w:rPr>
        <w:t xml:space="preserve">© 2026 BM &amp; D World Development Consultancy  |  Strictly Confidential / Strictement Confidentiel  |  This document is intended solely for the Ministry of Housing, Burkina Faso and authorised parties.</w:t>
      </w:r>
    </w:p>
    <w:sectPr>
      <w:pgSz w:w="24480" w:h="15840" w:orient="portrait"/>
      <w:pgMar w:top="720" w:right="720" w:bottom="72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18"/>
        <w:szCs w:val="18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2026-04-04T14:50:46.791Z</dcterms:created>
  <dcterms:modified xsi:type="dcterms:W3CDTF">2026-04-04T14:50:46.791Z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